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4E4E4" w:sz="6" w:space="15"/>
        </w:pBdr>
        <w:jc w:val="center"/>
        <w:outlineLvl w:val="1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关于人保投控NC财务系统运维服务项目拟采用单一来源方式采购的公示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根据</w:t>
      </w: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  <w:r>
        <w:rPr>
          <w:rFonts w:cs="宋体" w:asciiTheme="minorEastAsia" w:hAnsiTheme="minorEastAsia"/>
          <w:color w:val="333333"/>
          <w:kern w:val="0"/>
          <w:sz w:val="30"/>
          <w:szCs w:val="30"/>
        </w:rPr>
        <w:t>分散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采购管理相关制度规定，现将相关单一来源采购内容公示如下：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一、项目名称：人保投控NC财务系统运维服务项目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二、单一来源供应商：用友网络科技股份有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限公司北京分公司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三、公示期间：自公示发布之日起3日内，有关单位和个人如对以上项目采用单一来源采购方式有异议，请在公告有效期内以书面形式与公示联系人联系。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四、公示联系人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尹珅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 xml:space="preserve">     </w:t>
      </w:r>
      <w:r>
        <w:fldChar w:fldCharType="begin"/>
      </w:r>
      <w:r>
        <w:instrText xml:space="preserve"> HYPERLINK "mailto:zhangsan@picc.com.cn" </w:instrText>
      </w:r>
      <w:r>
        <w:fldChar w:fldCharType="separate"/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yinshen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t>@picc.com.cn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</w:p>
    <w:p>
      <w:pPr>
        <w:widowControl/>
        <w:spacing w:line="540" w:lineRule="atLeast"/>
        <w:ind w:firstLine="480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202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日</w:t>
      </w: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C7"/>
    <w:rsid w:val="000807BA"/>
    <w:rsid w:val="00322392"/>
    <w:rsid w:val="003E20C3"/>
    <w:rsid w:val="005900CA"/>
    <w:rsid w:val="0079032F"/>
    <w:rsid w:val="009B2B6F"/>
    <w:rsid w:val="00B24F49"/>
    <w:rsid w:val="00BC50F2"/>
    <w:rsid w:val="00C316CD"/>
    <w:rsid w:val="00D21260"/>
    <w:rsid w:val="00D3600A"/>
    <w:rsid w:val="00E43A5B"/>
    <w:rsid w:val="00EB22C7"/>
    <w:rsid w:val="1DDC218F"/>
    <w:rsid w:val="2D9A274A"/>
    <w:rsid w:val="55A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2021-11-01T09:12:00Z</dcterms:created>
  <dc:creator>张淳淳</dc:creator>
  <cp:lastModifiedBy>尹珅</cp:lastModifiedBy>
  <dcterms:modified xsi:type="dcterms:W3CDTF">2022-01-10T06:14:48Z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